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天津职业技术师范大学</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天津职业技术师范大学</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高等教育办学，设有教育学、工学、理学、管理学、经济学、文学、艺术学等7个学科门类，致力于培养高素质的职业教育师资及应用型高级技术人才。学校以“为党育人、为国育才”为办学宗旨，通过创新培养模式，推动产教融合，培养新时代工匠与技术技能人才。学校承担国家与地方职业教育教学改革、技能大赛以及技术创新研究等重要任务，并通过国际化合作与交流推动职业教育的全球化发展，进一步服务国家经济发展和社会需求，促进民族复兴和教育强国建设</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天津职业技术师范大学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单位本级（内设46个职能处室）。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天津职业技术师范大学</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485589216.94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72975000.00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872248661.03</w:t>
            </w: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128086190.00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122423338.43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29949000.00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16555000.00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116099572.90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2228000.00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10927952.60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925173318.27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931908613.63</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23304248.65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21436864.66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38005817.95</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21436864.66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969914431.58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969914431.58</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天津职业技术师范大学</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925173318.27</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558564216.94</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250509528.43</w:t>
            </w: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128086190.00</w:t>
            </w: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116099572.90</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教育支出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865513365.67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498904264.34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250509528.43</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128086190.00</w:t>
            </w: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116099572.90</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普通教育</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801672465.67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435063364.34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250509528.43</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128086190.00</w:t>
            </w: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116099572.90</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2050205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高等教育</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801672465.67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435063364.34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250509528.43</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128086190.00</w:t>
            </w: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116099572.90</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职业教育</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3840900.00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3840900.00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2050305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高等职业教育</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3840900.00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3840900.00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20598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超长期特别国债安排的支出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60000000.00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60000000.00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2059802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高等教育</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60000000.00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60000000.00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29949000.00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29949000.00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29949000.00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29949000.00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机关事业单位基本养老保险缴费支出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19966000.00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19966000.00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机关事业单位职业年金缴费支出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9983000.00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9983000.00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16555000.00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16555000.00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公共卫生</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2100408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基本公共卫生服务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16505000.00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16505000.00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13163000.00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13163000.00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其他行政事业单位医疗支出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3342000.00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3342000.00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2228000.00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2228000.00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22904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其他政府性基金及对应专项债务收入安排的支出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2228000.00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2228000.00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2290402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其他地方自行试点项目收益专项债券收入安排的支出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2228000.00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2228000.00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债务付息支出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10927952.60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10927952.60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地方政府一般债务付息支出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180952.60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180952.60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2320301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地方政府一般债券付息支出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180952.60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180952.60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地方政府专项债务付息支出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10747000.00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10747000.00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2320498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其他地方自行试点项目收益专项债券付息支出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10747000.00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10747000.00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天津职业技术师范大学</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969914431.58</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925173318.27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485589216.94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72975000.00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128086190.00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122423338.43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116099572.90</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330222</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天津职业技术师范大学</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969914431.58</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925173318.27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485589216.94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72975000.00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128086190.00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122423338.43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116099572.90</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天津职业技术师范大学</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44741113.31</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44741113.31</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44741113.31</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330222</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天津职业技术师范大学</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44741113.31</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44741113.31</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44741113.31</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天津职业技术师范大学</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931908613.63</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585711879.55</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346196734.08</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教育支出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872248661.03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539257879.55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332990781.48</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普通教育</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808407761.03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539257879.55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269149881.48</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2050205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高等教育</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808407761.03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539257879.55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269149881.48</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职业教育</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3840900.00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3840900.00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2050305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高等职业教育</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3840900.00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3840900.00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20598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超长期特别国债安排的支出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60000000.00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60000000.00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2059802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高等教育</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60000000.00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60000000.00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29949000.00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29949000.00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29949000.00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29949000.00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机关事业单位基本养老保险缴费支出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19966000.00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19966000.00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机关事业单位职业年金缴费支出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9983000.00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9983000.00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16555000.00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16505000.00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公共卫生</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2100408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基本公共卫生服务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16505000.00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16505000.00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13163000.00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13163000.00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其他行政事业单位医疗支出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3342000.00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3342000.00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2228000.00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2228000.00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22904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其他政府性基金及对应专项债务收入安排的支出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2228000.00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2228000.00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2290402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其他地方自行试点项目收益专项债券收入安排的支出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2228000.00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2228000.00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债务付息支出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10927952.60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10927952.60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地方政府一般债务付息支出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180952.60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180952.60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2320301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地方政府一般债券付息支出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180952.60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180952.60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地方政府专项债务付息支出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10747000.00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10747000.00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2320498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其他地方自行试点项目收益专项债券付息支出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10747000.00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10747000.00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天津职业技术师范大学</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485589216.94</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72975000.00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498904264.34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438904264.34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60000000.00</w:t>
            </w: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29949000.00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29949000.00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16555000.00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16555000.00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2228000.00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2228000.00</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10927952.60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180952.60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10747000.00</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558564216.94</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558564216.94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485589216.94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72975000.00</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558564216.94</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558564216.94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485589216.94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72975000.00</w:t>
            </w: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天津职业技术师范大学</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485589216.94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328968868.00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283292868.00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45676000.00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156620348.94</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教育支出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438904264.34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282514868.00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236838868.00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45676000.00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156389396.34</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普通教育</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435063364.34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282514868.00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236838868.00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45676000.00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152548496.34</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2050205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高等教育</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435063364.34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282514868.00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236838868.00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45676000.00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152548496.34</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职业教育</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3840900.00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3840900.00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高等职业教育</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3840900.00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3840900.00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29949000.00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29949000.00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29949000.00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29949000.00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29949000.00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29949000.00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机关事业单位基本养老保险缴费支出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19966000.00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19966000.00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19966000.00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机关事业单位职业年金缴费支出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9983000.00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9983000.00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9983000.00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16555000.00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16505000.00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16505000.00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公共卫生</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基本公共卫生服务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16505000.00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16505000.00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16505000.00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13163000.00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13163000.00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13163000.00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其他行政事业单位医疗支出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3342000.00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3342000.00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3342000.00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债务付息支出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180952.60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180952.60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地方政府一般债务付息支出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180952.60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180952.60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地方政府一般债券付息支出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180952.60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180952.60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天津职业技术师范大学</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276915000.00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45596000.00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68500000.00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80000.00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28500000.00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80000.00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4000000.00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69616000.00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8000000.00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19966000.00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9983000.00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5000000.00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13103000.00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15210000.00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1350000.00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1200000.00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64494000.00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2800000.00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1553000.00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107000.00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6377868.00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1500000.00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542000.00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14800.00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3986868.00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1624200.00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1849000.00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283292868.00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45676000.00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天津职业技术师范大学</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72975000.00</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72975000.00</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kern w:val="0.0"/>
                <w:sz w:val="20"/>
                <w:szCs w:val="20"/>
                <w:u w:val="none"/>
                <w:lang w:val="en-US" w:eastAsia="zh-CN"/>
              </w:rPr>
              <w:t xml:space="preserve">72975000.00</w:t>
            </w: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教育支出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20598</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超长期特别国债安排的支出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2059802</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高等教育</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60000000.00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229</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2228000.00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2228000.00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2228000.00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22904</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其他政府性基金及对应专项债务收入安排的支出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2228000.00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2228000.00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2228000.00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2290402</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其他地方自行试点项目收益专项债券收入安排的支出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2228000.00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2228000.00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2228000.00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债务付息支出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10747000.00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10747000.00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10747000.00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23204</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地方政府专项债务付息支出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10747000.00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10747000.00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10747000.00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2320498</w:t>
            </w: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其他地方自行试点项目收益专项债券付息支出</w:t>
            </w: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10747000.00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10747000.00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10747000.00</w:t>
            </w: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天津职业技术师范大学</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天津职业技术师范大学2025年度国有资本经营预算财政拨款收入支出决算表为空表。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天津职业技术师范大学</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104800.00</w:t>
            </w: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90000.00</w:t>
            </w: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90000.00</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14800.00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天津职业技术师范大学</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346196734.08</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156620348.94</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72975000.00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2829500.00</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113771885.14</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教育支出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332990781.48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156389396.34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2829500.00</w:t>
            </w: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113771885.14</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普通教育</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269149881.48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152548496.34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2829500.00</w:t>
            </w: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113771885.14</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2050205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高等教育</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269149881.48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152548496.34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2829500.00</w:t>
            </w: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113771885.14</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2050205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学校思想政治工作补助项目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1525000.00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1525000.00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2050205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天津市高校教师党支部书记“赋能拔尖”培育计划</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2050205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天津市教育设施布局规划优化调整研究课题</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2050205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支持教育事业发展-各类学校校舍维修（2025年）（天津职业技术师范大学）</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4539900.00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4539900.00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2050205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鲁班工坊建设项目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2050205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天津市普通高等学校本科教育教学审核评估</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182500.00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182500.00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2050205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天津市外国留学生政府奖学金</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1020000.00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1020000.00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2050205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支持教育事业发展-鲁班工坊建设项目（2025年）(天津职业技术师范大学)</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2050205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教育五育并举</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626000.00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626000.00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2050205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教育类项目-各类校舍维修（天津职业技术师范大学）</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1142100.00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1142100.00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2050205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高等教育民族团结进步教育培训及铸牢中华民族共同体意识相关活动</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2050205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现代职业教育质量体系建设试点改革</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2050205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支持教育事业发展-天津市高校落实《科教兴市人才强市行动方案》考核引导资金（2025年）（天津职业技术师范大学）</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9500000.00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9500000.00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2050205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职业技术师范大学综合考务费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2050205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非财政拨款项目（综合业务经费）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104184435.14</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104184435.14</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2050205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非财政拨款项目（综合业务经费）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10747000.00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2829500.00</w:t>
            </w: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7917500.00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2050205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非财政拨款项目（综合业务经费）</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1669950.00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1669950.00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职业教育</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3840900.00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3840900.00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20598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超长期特别国债安排的支出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60000000.00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公共卫生</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基本公共卫生服务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2100408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基本公共卫生服务-新划入项目-职业病防治（2025年）</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2228000.00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2228000.00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22904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其他政府性基金及对应专项债务收入安排的支出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2228000.00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2228000.00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2290402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其他地方自行试点项目收益专项债券收入安排的支出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2228000.00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2228000.00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2290402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天津职业技术师范大学职业教育师资培训中心建设项目</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2228000.00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2228000.00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债务付息支出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10927952.60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180952.60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10747000.00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地方政府一般债务付息支出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180952.60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180952.60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地方政府一般债券付息支出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180952.60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180952.60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2320301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2025年一般债券利息</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180952.60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180952.60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地方政府专项债务付息支出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10747000.00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10747000.00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2320498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其他地方自行试点项目收益专项债券付息支出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10747000.00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10747000.00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2320498</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天津职业技术师范大学职业教育师资培训中心建设项目-专项债券付息</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10747000.00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10747000.00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天津职业技术师范大学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969,914,431.58</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减少128,791,008.32元，下降11.72%</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财政拨款项目经费收支减少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一般公共预算财政拨款收入485,589,216.94元、政府性基金预算财政拨款收入72,975,000.00元、财政专户管理资金收入128,086,190.00元、事业收入122,423,338.43元、其他收入116,099,572.90元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教育支出872,248,661.03元、社会保障和就业支出29,949,000.00元、卫生健康支出16,555,000.00元、其他支出2,228,000.00元、债务付息支出10,927,952.60元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天津职业技术师范大学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925,173,318.27</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减少109,554,843.17元，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职教师资培训楼建设项目等财政专项经费收入减少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485,589,216.94元，占52.49%；政府性基金预算财政拨款收入72,975,000.00元，占7.89%；财政专户管理资金收入128,086,190.00元，占13.84%；事业收入122,423,338.43元，占13.23%；其他收入116,099,572.90元，占12.55%</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天津职业技术师范大学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931,908,613.63</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减少124,915,463.14元，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职教师资培训楼建设项目等财政专项经费支出减少</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基本支出585,711,879.55元，占62.85%；项目支出346,196,734.08元，占37.15%</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天津职业技术师范大学</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558,564,216.94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减少153,894,736.16元，下降21.60%，</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职教师资培训楼建设项目竣工，政府性基金预算收支减少，以及较2024年减少世界职业教育发展大会等专项，财政拨款收支减少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一般公共预算财政拨款485,589,216.94元、政府性基金预算财政拨款72,975,000.00元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教育支出498,904,264.34元、社会保障和就业支出29,949,000.00元、卫生健康支出16,555,000.00元、其他支出2,228,000.00元、债务付息支出10,927,952.60元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天津职业技术师范大学2025年度一般公共预算财政拨款支出合计485,589,216.94元，占本年支出合计的52.11%。与2024年度相比，一般公共预算财政拨款支出</w:t>
      </w:r>
      <w:r>
        <w:rPr>
          <w:rFonts w:eastAsia="仿宋_GB2312" w:hint="eastAsia"/>
          <w:sz w:val="30"/>
          <w:szCs w:val="30"/>
          <w:highlight w:val="none"/>
          <w:lang w:val="en-US" w:eastAsia="zh-CN"/>
        </w:rPr>
        <w:t xml:space="preserve">增加26,039,995.35元</w:t>
      </w:r>
      <w:r>
        <w:rPr>
          <w:rFonts w:eastAsia="仿宋_GB2312" w:hint="eastAsia"/>
          <w:sz w:val="30"/>
          <w:szCs w:val="30"/>
          <w:highlight w:val="none"/>
          <w:lang w:val="en-US" w:eastAsia="zh-CN"/>
        </w:rPr>
        <w:t xml:space="preserve">，增长5.67%</w:t>
      </w:r>
      <w:r>
        <w:rPr>
          <w:rFonts w:eastAsia="仿宋_GB2312" w:hint="eastAsia"/>
          <w:sz w:val="30"/>
          <w:szCs w:val="30"/>
          <w:highlight w:val="none"/>
          <w:lang w:val="en-US" w:eastAsia="zh-CN"/>
        </w:rPr>
        <w:t xml:space="preserve">，主要原因是增加支持地方高校改革发展资金、各类校舍维修、现代职业教育质量体系建设等专项支出。</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2025年度一般公共预算财政拨款支出485,589,216.94元，主要用于以下方面：</w:t>
      </w:r>
      <w:r>
        <w:rPr>
          <w:rFonts w:eastAsia="仿宋_GB2312" w:hint="eastAsia"/>
          <w:sz w:val="30"/>
          <w:szCs w:val="30"/>
          <w:highlight w:val="none"/>
        </w:rPr>
        <w:t xml:space="preserve">教育支出（类）支出438,904,264.34元，占90.38%，社会保障和就业支出（类）支出29,949,000.00元，占6.17%，卫生健康支出（类）支出16,555,000.00元，占3.41%，债务付息支出（类）支出180,952.60元，占0.04%</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2025年度一般公共预算财政拨款支出年初预算为394,138,200.00元，支出决算为485,589,216.94元</w:t>
      </w:r>
      <w:r>
        <w:rPr>
          <w:rFonts w:eastAsia="仿宋_GB2312" w:hint="eastAsia"/>
          <w:sz w:val="30"/>
          <w:szCs w:val="30"/>
          <w:highlight w:val="none"/>
          <w:lang w:val="en-US" w:eastAsia="zh-CN"/>
        </w:rPr>
        <w:t xml:space="preserve">，完成年初预算的123.20%</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教育支出（类）普通教育（款）高等教育（项）年初预算为343,637,500.00元，支出决算为435,063,364.34元，完成年初预算的126.61%，决算数大于年初预算数的主要原因是：追加专项经费资金，包括新建学生公寓、支持地方高校改革发展资金、各类校舍维修项目资金等。</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教育支出（类）职业教育（款）高等职业教育（项）年初预算为3,815,700.00元，支出决算为3,840,900.00元，完成年初预算的100.66%，决算数大于年初预算数的主要原因是：追加现代职业教育质量提升计划资金项目资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社会保障和就业支出（类）行政事业单位养老支出（款）机关事业单位基本养老保险缴费支出（项）年初预算为19,966,000.00元，支出决算为19,966,000.00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社会保障和就业支出（类）行政事业单位养老支出（款）机关事业单位职业年金缴费支出（项）年初预算为9,983,000.00元，支出决算为9,983,000.00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5.卫生健康支出（类）公共卫生（款）基本公共卫生服务（项）年初预算为50,000.00元，支出决算为50,000.00元，完成年初预算的100.00%，决算数与年初预算数持平的主要原因是：严格按照预算执行。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6.卫生健康支出（类）行政事业单位医疗（款）事业单位医疗（项）年初预算为13,163,000.00元，支出决算为13,163,000.00元，完成年初预算的100.00%，决算数与年初预算数持平的主要原因是：严格按照预算执行。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7.卫生健康支出（类）行政事业单位医疗（款）其他行政事业单位医疗支出（项）年初预算为3,342,000.00元，支出决算为3,342,000.00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8.债务付息支出（类）地方政府一般债务付息支出（款）地方政府一般债券付息支出（项）年初预算为181,000.00元，支出决算为180,952.60元，完成年初预算的99.97%，决算数小于年初预算数的主要原因是：地方政府一般债利息按实际情况计息。</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天津职业技术师范大学2025年度一般公共预算财政拨款基本支出合计328,968,868.00元，与2024年度相比</w:t>
      </w:r>
      <w:r>
        <w:rPr>
          <w:rFonts w:eastAsia="仿宋_GB2312" w:hint="eastAsia"/>
          <w:sz w:val="30"/>
          <w:szCs w:val="30"/>
          <w:highlight w:val="none"/>
          <w:lang w:val="en-US" w:eastAsia="zh-CN"/>
        </w:rPr>
        <w:t xml:space="preserve">增加1,503,068.00元，</w:t>
      </w:r>
      <w:r>
        <w:rPr>
          <w:rFonts w:eastAsia="仿宋_GB2312" w:hint="eastAsia"/>
          <w:sz w:val="30"/>
          <w:szCs w:val="30"/>
          <w:highlight w:val="none"/>
          <w:lang w:val="en-US" w:eastAsia="zh-CN"/>
        </w:rPr>
        <w:t xml:space="preserve">主要原因是人员经费支出增加。</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人员经费283,292,868.00元，主要包括</w:t>
      </w:r>
      <w:r>
        <w:rPr>
          <w:rFonts w:eastAsia="仿宋_GB2312" w:hint="eastAsia"/>
          <w:sz w:val="30"/>
          <w:szCs w:val="30"/>
          <w:highlight w:val="none"/>
          <w:lang w:val="en-US" w:eastAsia="zh-CN"/>
        </w:rPr>
        <w:t xml:space="preserve">基本工资、津贴补贴、绩效工资、机关事业单位基本养老保险缴费、职业年金缴费、职工基本医疗保险缴费、其他社会保障缴费、住房公积金、医疗费、离休费、退休费、医疗费补助</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公用经费45,676,000.00元，主要包括</w:t>
      </w:r>
      <w:r>
        <w:rPr>
          <w:rFonts w:eastAsia="仿宋_GB2312" w:hint="eastAsia"/>
          <w:sz w:val="30"/>
          <w:szCs w:val="30"/>
          <w:highlight w:val="none"/>
          <w:lang w:val="en-US" w:eastAsia="zh-CN"/>
        </w:rPr>
        <w:t xml:space="preserve">办公费、印刷费、水费、电费、邮电费、取暖费、物业管理费、差旅费、维修(护)费、会议费、培训费、公务接待费、专用材料费、劳务费、工会经费、公务用车运行维护费、其他商品和服务支出、办公设备购置</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wordWrap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highlight w:val="none"/>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天津职业技术师范大学2025年度政府性基金预算财政拨款年初结转和结余0.00元，收入72,975,000.00元，支出72,975,000.00元，年末结转和结余0.00元。与2024年度相比，政府性基金预算财政拨款支出</w:t>
      </w:r>
      <w:r>
        <w:rPr>
          <w:rFonts w:eastAsia="仿宋_GB2312" w:hint="eastAsia"/>
          <w:sz w:val="30"/>
          <w:szCs w:val="30"/>
          <w:highlight w:val="none"/>
          <w:lang w:val="en-US" w:eastAsia="zh-CN"/>
        </w:rPr>
        <w:t xml:space="preserve">减少179,934,731.51元，</w:t>
      </w:r>
      <w:r>
        <w:rPr>
          <w:rFonts w:eastAsia="仿宋_GB2312" w:hint="eastAsia"/>
          <w:sz w:val="30"/>
          <w:szCs w:val="30"/>
          <w:highlight w:val="none"/>
          <w:lang w:val="en-US" w:eastAsia="zh-CN"/>
        </w:rPr>
        <w:t xml:space="preserve">下降71.15%，</w:t>
      </w:r>
      <w:r>
        <w:rPr>
          <w:rFonts w:eastAsia="仿宋_GB2312" w:hint="eastAsia"/>
          <w:sz w:val="30"/>
          <w:szCs w:val="30"/>
          <w:highlight w:val="none"/>
          <w:lang w:val="en-US" w:eastAsia="zh-CN"/>
        </w:rPr>
        <w:t xml:space="preserve">主要原因是职教师资培训楼竣工，政府性基金预算支出减少。</w:t>
      </w:r>
    </w:p>
    <w:p>
      <w:pPr>
        <w:divId w:val="0"/>
        <w:wordWrap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highlight w:val="none"/>
          <w:lang w:val="en-US" w:eastAsia="zh-CN"/>
        </w:rPr>
        <w:t xml:space="preserve">（二）支出结构情况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2025年度政府性基金预算财政拨款支出72,975,000.00元，主要用于以下方面：</w:t>
      </w:r>
      <w:r>
        <w:rPr>
          <w:rFonts w:eastAsia="仿宋_GB2312" w:hint="eastAsia"/>
          <w:sz w:val="28"/>
          <w:szCs w:val="28"/>
          <w:highlight w:val="none"/>
        </w:rPr>
        <w:t xml:space="preserve">教育支出（类）支出60,000,000.00元，占82.22%，其他支出（类）支出2,228,000.00元，占3.05%，债务付息支出（类）支出10,747,000.00元，占14.73%</w:t>
      </w:r>
      <w:r>
        <w:rPr>
          <w:rFonts w:eastAsia="仿宋_GB2312" w:hint="eastAsia"/>
          <w:sz w:val="30"/>
          <w:szCs w:val="30"/>
          <w:highlight w:val="none"/>
          <w:lang w:val="en-US" w:eastAsia="zh-CN"/>
        </w:rPr>
        <w:t xml:space="preserve">。</w:t>
      </w:r>
    </w:p>
    <w:p>
      <w:pPr>
        <w:divId w:val="0"/>
        <w:wordWrap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highlight w:val="none"/>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2025年度政府性基金预算财政拨款支出年初预算为12,975,000.00元，支出决算为72,975,000.00元</w:t>
      </w:r>
      <w:r>
        <w:rPr>
          <w:rFonts w:eastAsia="仿宋_GB2312" w:hint="eastAsia"/>
          <w:sz w:val="30"/>
          <w:szCs w:val="30"/>
          <w:highlight w:val="none"/>
          <w:lang w:val="en-US" w:eastAsia="zh-CN"/>
        </w:rPr>
        <w:t xml:space="preserve">，完成年初预算的562.43%</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1.教育支出（类）超长期特别国债安排的支出（款）高等教育（项）年初预算为0.00元，支出决算为60,000,000.00元，决算数大于年初预算数的主要原因是：年中追加教育设备购置专项资金。</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其他支出（类）其他政府性基金及对应专项债务收入安排的支出（款）其他地方自行试点项目收益专项债券收入安排的支出（项）年初预算为2,228,000.00元，支出决算为2,228,000.00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债务付息支出（类）地方政府专项债务付息支出（款）其他地方自行试点项目收益专项债券付息支出（项）年初预算为10,747,000.00元，支出决算为10,747,000.00元，完成年初预算的100.00%，决算数与年初预算数持平的主要原因是：严格按照预算执行。</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天津职业技术师范大学2025年度无国有资本经营预算财政拨款收入、支出和结转结余。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104,800.00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104,800.00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支出决算较上年减少12,200.00元</w:t>
      </w:r>
      <w:r>
        <w:rPr>
          <w:rFonts w:eastAsia="仿宋_GB2312" w:hint="eastAsia"/>
          <w:sz w:val="30"/>
          <w:szCs w:val="30"/>
          <w:highlight w:val="none"/>
          <w:lang w:val="en-US" w:eastAsia="zh-CN"/>
        </w:rPr>
        <w:t xml:space="preserve">，下降10.43%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决算数较上年减少的主要原因是持续贯彻落实厉行节约，过紧日子要求，严控“三公”经费支出，整体规模有所下降。</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90,000.00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90,000.00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支出决算较上年增加18,000.00元</w:t>
      </w:r>
      <w:r>
        <w:rPr>
          <w:rFonts w:eastAsia="仿宋_GB2312" w:hint="eastAsia"/>
          <w:sz w:val="30"/>
          <w:szCs w:val="30"/>
          <w:highlight w:val="none"/>
          <w:lang w:val="en-US" w:eastAsia="zh-CN"/>
        </w:rPr>
        <w:t xml:space="preserve">，增长25.00%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决算数较上年增加的主要原因是由于公务用车购买年限久，维修增多，运行维护支出有所增加。</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90,000.00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90,000.00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支出决算较上年增加18,000.00元</w:t>
      </w:r>
      <w:r>
        <w:rPr>
          <w:rFonts w:eastAsia="仿宋_GB2312" w:hint="eastAsia"/>
          <w:sz w:val="30"/>
          <w:szCs w:val="30"/>
          <w:highlight w:val="none"/>
          <w:lang w:val="en-US" w:eastAsia="zh-CN"/>
        </w:rPr>
        <w:t xml:space="preserve">，增长25.00%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决算数较上年增加的主要原因是由于公务用车购买年限久，维修增多，运行维护支出有所增加。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17</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决算数与预算数持平的主要原因是本年度未安排预算列支公务用车购置费；</w:t>
      </w:r>
      <w:r>
        <w:rPr>
          <w:rFonts w:eastAsia="仿宋_GB2312" w:hint="eastAsia"/>
          <w:sz w:val="30"/>
          <w:szCs w:val="30"/>
          <w:highlight w:val="none"/>
          <w:lang w:val="en-US" w:eastAsia="zh-CN"/>
        </w:rPr>
        <w:t xml:space="preserve">决算数较上年持平的主要原因是本年度未安排预算列支公务用车购置费。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14,800.00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14,800.00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支出决算较上年减少30,200.00元</w:t>
      </w:r>
      <w:r>
        <w:rPr>
          <w:rFonts w:eastAsia="仿宋_GB2312" w:hint="eastAsia"/>
          <w:sz w:val="30"/>
          <w:szCs w:val="30"/>
          <w:highlight w:val="none"/>
          <w:lang w:val="en-US" w:eastAsia="zh-CN"/>
        </w:rPr>
        <w:t xml:space="preserve">，下降67.11%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决算数较上年减少的主要原因是落实过紧日子要求，减少公务接待财政资金支出。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28</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185</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10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天津职业技术师范大学2025年度无机关运行经费。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职业技术师范大学2025年政府采购支出总额246,395,717.29元，其中：政府采购货物支出69,570,832.20元、政府采购工程支出137,272,697.00元、政府采购服务支出39,552,188.09元。授予中小企业合同金额83,580,968.29元，占政府采购支出总额的33.92%，其中：授予小微企业合同金额77,040,160.29元，占政府采购支出总额的31.27%；货物采购授予中小企业合同金额占货物支出金额的50.68%，工程采购授予中小企业合同金额占工程支出金额的6.79%，服务采购授予中小企业合同金额占服务支出金额的98.61%。</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截至2025年12月31日，天津职业技术师范大学共有车辆17辆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主要负责人用车2辆、机要通信用车2辆、离退休干部服务用车1辆、其他用车12辆</w:t>
      </w:r>
      <w:r>
        <w:rPr>
          <w:rFonts w:eastAsia="仿宋_GB2312" w:hint="eastAsia"/>
          <w:sz w:val="30"/>
          <w:szCs w:val="30"/>
          <w:highlight w:val="none"/>
          <w:lang w:val="en-US" w:eastAsia="zh-CN"/>
        </w:rPr>
        <w:t xml:space="preserve">，其他用车主要包括行政教学日常工作公务用车</w:t>
      </w:r>
      <w:r>
        <w:rPr>
          <w:rFonts w:eastAsia="仿宋_GB2312" w:hint="eastAsia"/>
          <w:sz w:val="30"/>
          <w:szCs w:val="30"/>
          <w:highlight w:val="none"/>
          <w:lang w:val="en-US" w:eastAsia="zh-CN"/>
        </w:rPr>
        <w:t xml:space="preserve">。单价100万元以上的设备98台（套）。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根据预算绩效管理要求，天津职业技术师范大学已对21个2025年度市级项目开展绩效自评，涉及金额159,393,500.00元，自评结果已随部门决算一并公开。</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天津职业技术师范大学不属于乡、镇、街级单位，不涉及公开2025年度教育、医疗卫生、社会保障和就业、住房保障、涉农补贴等民生支出情况。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FD8E1710-B502-4688-9B18-88641585AA7A}"/>
    <w:embedBold r:id="rId2" w:subsetted="1" w:fontKey="{7A96AEA4-62B7-4EC1-8714-FE10974622C4}"/>
  </w:font>
  <w:font w:name="Cambria">
    <w:panose1 w:val="02040503050406030204"/>
    <w:charset w:val="00"/>
    <w:family w:val="roman"/>
    <w:pitch w:val="default"/>
    <w:sig w:usb0="E00006FF" w:usb1="420024FF" w:usb2="02000000" w:usb3="00000000" w:csb0="2000019F" w:csb1="00000000"/>
    <w:embedRegular r:id="rId3" w:fontKey="{787418E6-29ED-433C-9712-88C544ED4D40}"/>
  </w:font>
  <w:font w:name="Calibri">
    <w:panose1 w:val="020F0502020204030204"/>
    <w:charset w:val="00"/>
    <w:family w:val="swiss"/>
    <w:pitch w:val="default"/>
    <w:sig w:usb0="E4002EFF" w:usb1="C200247B" w:usb2="00000009" w:usb3="00000000" w:csb0="200001FF" w:csb1="00000000"/>
    <w:embedRegular r:id="rId4" w:fontKey="{A69F248B-E054-4307-9923-2B24C6573B43}"/>
  </w:font>
  <w:font w:name="黑体">
    <w:panose1 w:val="02010609060101010101"/>
    <w:charset w:val="FFFFFF86"/>
    <w:family w:val="auto"/>
    <w:pitch w:val="default"/>
    <w:sig w:usb0="800002BF" w:usb1="38CF7CFA" w:usb2="00000016" w:usb3="00000000" w:csb0="00040001" w:csb1="00000000"/>
    <w:embedRegular r:id="rId5" w:subsetted="1" w:fontKey="{A85D5021-F382-4142-9C6C-F43BAF167B5A}"/>
    <w:embedBold r:id="rId6" w:subsetted="1" w:fontKey="{8ADC14F5-61DA-4C1A-8B6F-55426B244130}"/>
  </w:font>
  <w:font w:name="方正小标宋简体">
    <w:altName w:val="黑体"/>
    <w:panose1 w:val="02000000000000000000"/>
    <w:charset w:val="FFFFFF86"/>
    <w:family w:val="auto"/>
    <w:pitch w:val="default"/>
    <w:sig w:usb0="00000001" w:usb1="08000000" w:usb2="00000000" w:usb3="00000000" w:csb0="00040000" w:csb1="00000000"/>
    <w:embedRegular r:id="rId7" w:fontKey="{D85712B5-A242-4601-B219-84C33BDF9D50}"/>
    <w:embedBold r:id="rId8" w:fontKey="{2BDA541C-0E36-4DC6-9632-AAA3AE248615}"/>
  </w:font>
  <w:font w:name="仿宋">
    <w:panose1 w:val="02010609060101010101"/>
    <w:charset w:val="FFFFFF86"/>
    <w:family w:val="auto"/>
    <w:pitch w:val="default"/>
    <w:sig w:usb0="800002BF" w:usb1="38CF7CFA" w:usb2="00000016" w:usb3="00000000" w:csb0="00040001" w:csb1="00000000"/>
    <w:embedRegular r:id="rId9" w:subsetted="1" w:fontKey="{65473517-8F0D-41F0-895F-E7D9D81AF21B}"/>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A311BDD6-D4BE-42B0-A3A1-072F1B58F926}"/>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1" w:subsetted="1" w:fontKey="{9FDB4F1F-2F20-4CDD-81EF-5E1D756B86B0}"/>
    <w:embedBold r:id="rId12" w:subsetted="1" w:fontKey="{41160D99-C258-4B4F-A820-4F02D75AE4C2}"/>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8</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25</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35</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38</Pages>
  <Words>11720</Words>
  <Characters>62073</Characters>
  <Application>WPS Office_12.1.0.28043_F1E327BC-269C-435d-A152-05C5408002CA</Application>
  <DocSecurity>0</DocSecurity>
  <Lines>60</Lines>
  <Paragraphs>16</Paragraphs>
  <ScaleCrop>false</ScaleCrop>
  <Company>Microsoft</Company>
  <LinksUpToDate>false</LinksUpToDate>
  <CharactersWithSpaces>63178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